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626D" w14:textId="77777777" w:rsidR="00462E59" w:rsidRDefault="006A5CDF" w:rsidP="00CE5FC7">
      <w:pPr>
        <w:pStyle w:val="Heading1"/>
        <w:spacing w:after="0"/>
      </w:pPr>
      <w:r>
        <w:t>SRF Vacation Scholarship report 201</w:t>
      </w:r>
      <w:r w:rsidR="00681121">
        <w:t>8</w:t>
      </w:r>
      <w:r w:rsidR="00330CBF">
        <w:t xml:space="preserve">                        </w:t>
      </w:r>
      <w:r w:rsidR="00330CBF">
        <w:rPr>
          <w:noProof/>
          <w:lang w:val="en-GB" w:eastAsia="en-GB"/>
        </w:rPr>
        <w:drawing>
          <wp:inline distT="0" distB="0" distL="0" distR="0" wp14:anchorId="5CCFAA69" wp14:editId="25C9689F">
            <wp:extent cx="1454400" cy="583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4_SRF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B8A7" w14:textId="77777777" w:rsidR="00330CBF" w:rsidRDefault="00330CBF" w:rsidP="006A5CDF">
      <w:pPr>
        <w:rPr>
          <w:sz w:val="20"/>
        </w:rPr>
      </w:pPr>
    </w:p>
    <w:p w14:paraId="681EBC54" w14:textId="77777777" w:rsidR="006A5CDF" w:rsidRDefault="006A5CDF" w:rsidP="00CE5FC7">
      <w:pPr>
        <w:spacing w:before="0" w:after="0"/>
        <w:rPr>
          <w:sz w:val="20"/>
        </w:rPr>
      </w:pPr>
      <w:r w:rsidRPr="009F6C8F">
        <w:rPr>
          <w:sz w:val="20"/>
        </w:rPr>
        <w:t xml:space="preserve">The form </w:t>
      </w:r>
      <w:r w:rsidR="009F6C8F">
        <w:rPr>
          <w:sz w:val="20"/>
        </w:rPr>
        <w:t xml:space="preserve">below </w:t>
      </w:r>
      <w:r w:rsidRPr="009F6C8F">
        <w:rPr>
          <w:sz w:val="20"/>
        </w:rPr>
        <w:t xml:space="preserve">should be completed by the student, </w:t>
      </w:r>
      <w:r w:rsidR="00A806B1">
        <w:rPr>
          <w:sz w:val="20"/>
        </w:rPr>
        <w:t xml:space="preserve">then forwarded to the supervisor for approval and submission to </w:t>
      </w:r>
      <w:hyperlink r:id="rId8" w:history="1">
        <w:r w:rsidR="009F6C8F" w:rsidRPr="005437B4">
          <w:rPr>
            <w:rStyle w:val="Hyperlink"/>
            <w:sz w:val="20"/>
          </w:rPr>
          <w:t>srf@conferencecollective.co.uk</w:t>
        </w:r>
      </w:hyperlink>
      <w:r w:rsidR="009F6C8F">
        <w:rPr>
          <w:sz w:val="20"/>
        </w:rPr>
        <w:t xml:space="preserve"> within 8 weeks of completing the project</w:t>
      </w:r>
      <w:r w:rsidRPr="009F6C8F">
        <w:rPr>
          <w:sz w:val="20"/>
        </w:rPr>
        <w:t xml:space="preserve">.  </w:t>
      </w:r>
      <w:r w:rsidR="00F3461E">
        <w:rPr>
          <w:sz w:val="20"/>
        </w:rPr>
        <w:t>Please submit the form as a Word document.</w:t>
      </w:r>
    </w:p>
    <w:p w14:paraId="7E2BBE4D" w14:textId="77777777" w:rsidR="00A806B1" w:rsidRDefault="00A806B1" w:rsidP="00CE5FC7">
      <w:pPr>
        <w:spacing w:before="0" w:after="0"/>
        <w:rPr>
          <w:sz w:val="20"/>
        </w:rPr>
      </w:pPr>
    </w:p>
    <w:p w14:paraId="6F307D5E" w14:textId="77777777" w:rsidR="00A806B1" w:rsidRPr="009F6C8F" w:rsidRDefault="00A806B1" w:rsidP="00CE5FC7">
      <w:pPr>
        <w:spacing w:before="0" w:after="0"/>
        <w:rPr>
          <w:sz w:val="20"/>
        </w:rPr>
      </w:pPr>
      <w:r>
        <w:rPr>
          <w:sz w:val="20"/>
        </w:rPr>
        <w:t>A maximum of one figure (with legend of less than 100 words) may be appended if required.</w:t>
      </w:r>
    </w:p>
    <w:p w14:paraId="3246607B" w14:textId="77777777" w:rsidR="006A5CDF" w:rsidRPr="009F6C8F" w:rsidRDefault="006A5CDF" w:rsidP="00CE5FC7">
      <w:pPr>
        <w:spacing w:before="0" w:after="0"/>
        <w:rPr>
          <w:sz w:val="20"/>
        </w:rPr>
      </w:pPr>
    </w:p>
    <w:p w14:paraId="50F026B9" w14:textId="77777777" w:rsidR="006A5CDF" w:rsidRDefault="006A5CDF" w:rsidP="00CE5FC7">
      <w:pPr>
        <w:spacing w:before="0" w:after="0"/>
        <w:rPr>
          <w:sz w:val="20"/>
        </w:rPr>
      </w:pPr>
      <w:r w:rsidRPr="009F6C8F">
        <w:rPr>
          <w:b/>
          <w:sz w:val="20"/>
        </w:rPr>
        <w:t xml:space="preserve">Please note: </w:t>
      </w:r>
      <w:r w:rsidRPr="009F6C8F">
        <w:rPr>
          <w:sz w:val="20"/>
        </w:rPr>
        <w:t xml:space="preserve">excerpts from this form may be published on the SRF website, so please ensure content </w:t>
      </w:r>
      <w:r w:rsidR="009F6C8F">
        <w:rPr>
          <w:sz w:val="20"/>
        </w:rPr>
        <w:t xml:space="preserve">is suitable for website publication, and does not compromise future dissemination of data in peer-reviewed papers etc. </w:t>
      </w:r>
      <w:r w:rsidR="00A806B1">
        <w:rPr>
          <w:sz w:val="20"/>
        </w:rPr>
        <w:t>The SRF reserves the right to edit responses to ensure suitability for publication on the website, newsletter or in promotional material.</w:t>
      </w:r>
    </w:p>
    <w:p w14:paraId="280A7175" w14:textId="77777777" w:rsidR="009F6C8F" w:rsidRPr="009F6C8F" w:rsidRDefault="009F6C8F" w:rsidP="006A5CDF">
      <w:pPr>
        <w:rPr>
          <w:sz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1"/>
        <w:gridCol w:w="2794"/>
        <w:gridCol w:w="2386"/>
        <w:gridCol w:w="2479"/>
      </w:tblGrid>
      <w:tr w:rsidR="00462E59" w:rsidRPr="009F6C8F" w14:paraId="7FDFD99F" w14:textId="77777777" w:rsidTr="006A5CDF">
        <w:tc>
          <w:tcPr>
            <w:tcW w:w="1710" w:type="dxa"/>
            <w:shd w:val="clear" w:color="auto" w:fill="auto"/>
          </w:tcPr>
          <w:p w14:paraId="33AF5EB6" w14:textId="77777777" w:rsidR="00462E59" w:rsidRPr="009F6C8F" w:rsidRDefault="006A5CDF" w:rsidP="00462E59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 xml:space="preserve">Student’s </w:t>
            </w:r>
            <w:r w:rsidR="00462E59" w:rsidRPr="009F6C8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916" w:type="dxa"/>
          </w:tcPr>
          <w:p w14:paraId="69D13159" w14:textId="1738931F" w:rsidR="00462E59" w:rsidRPr="009F6C8F" w:rsidRDefault="009D5B95" w:rsidP="004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Kay</w:t>
            </w:r>
          </w:p>
        </w:tc>
        <w:tc>
          <w:tcPr>
            <w:tcW w:w="239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5F1D3E" w14:textId="77777777" w:rsidR="00462E59" w:rsidRPr="009F6C8F" w:rsidRDefault="006A5CDF" w:rsidP="00462E59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>Student’s Institution/University: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70F19B4D" w14:textId="7070C714" w:rsidR="00462E59" w:rsidRPr="009F6C8F" w:rsidRDefault="009D5B95" w:rsidP="004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Edinburgh</w:t>
            </w:r>
          </w:p>
        </w:tc>
      </w:tr>
      <w:tr w:rsidR="009F6C8F" w:rsidRPr="009F6C8F" w14:paraId="23ED7DBF" w14:textId="77777777" w:rsidTr="00AB5C7E">
        <w:tc>
          <w:tcPr>
            <w:tcW w:w="1710" w:type="dxa"/>
            <w:shd w:val="clear" w:color="auto" w:fill="auto"/>
          </w:tcPr>
          <w:p w14:paraId="49ACA451" w14:textId="77777777" w:rsidR="009F6C8F" w:rsidRPr="009F6C8F" w:rsidRDefault="009F6C8F" w:rsidP="00FA2F66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>Degree Title</w:t>
            </w:r>
            <w:r>
              <w:rPr>
                <w:b/>
                <w:sz w:val="20"/>
                <w:szCs w:val="20"/>
              </w:rPr>
              <w:t xml:space="preserve"> and year of study</w:t>
            </w:r>
            <w:r w:rsidRPr="009F6C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2"/>
          </w:tcPr>
          <w:p w14:paraId="7F28A57E" w14:textId="6DA26D4F" w:rsidR="009F6C8F" w:rsidRPr="009F6C8F" w:rsidRDefault="009D5B95" w:rsidP="004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4 </w:t>
            </w:r>
            <w:r w:rsidR="003376DE">
              <w:rPr>
                <w:sz w:val="20"/>
                <w:szCs w:val="20"/>
              </w:rPr>
              <w:t xml:space="preserve">- </w:t>
            </w:r>
            <w:r w:rsidR="00E93536">
              <w:rPr>
                <w:sz w:val="20"/>
                <w:szCs w:val="20"/>
              </w:rPr>
              <w:t>Medicine (</w:t>
            </w:r>
            <w:r>
              <w:rPr>
                <w:sz w:val="20"/>
                <w:szCs w:val="20"/>
              </w:rPr>
              <w:t>MBChB</w:t>
            </w:r>
            <w:r w:rsidR="00E93536">
              <w:rPr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14:paraId="5561CC75" w14:textId="77777777" w:rsidR="009F6C8F" w:rsidRPr="009F6C8F" w:rsidRDefault="009F6C8F" w:rsidP="00462E59">
            <w:pPr>
              <w:rPr>
                <w:sz w:val="20"/>
                <w:szCs w:val="20"/>
              </w:rPr>
            </w:pPr>
          </w:p>
        </w:tc>
      </w:tr>
      <w:tr w:rsidR="00462E59" w:rsidRPr="009F6C8F" w14:paraId="7DA07538" w14:textId="77777777" w:rsidTr="006A5CDF">
        <w:tc>
          <w:tcPr>
            <w:tcW w:w="1710" w:type="dxa"/>
            <w:shd w:val="clear" w:color="auto" w:fill="auto"/>
          </w:tcPr>
          <w:p w14:paraId="68FDC8AC" w14:textId="77777777" w:rsidR="00462E59" w:rsidRPr="009F6C8F" w:rsidRDefault="00462E59" w:rsidP="00FA2F66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>Supervisor</w:t>
            </w:r>
            <w:r w:rsidR="006A5CDF" w:rsidRPr="009F6C8F">
              <w:rPr>
                <w:b/>
                <w:sz w:val="20"/>
                <w:szCs w:val="20"/>
              </w:rPr>
              <w:t>’s Name</w:t>
            </w:r>
            <w:r w:rsidRPr="009F6C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16" w:type="dxa"/>
          </w:tcPr>
          <w:p w14:paraId="6B0868D7" w14:textId="25FFCA7A" w:rsidR="00462E59" w:rsidRPr="009F6C8F" w:rsidRDefault="009D5B95" w:rsidP="0046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Hilary Critchley</w:t>
            </w:r>
          </w:p>
        </w:tc>
        <w:tc>
          <w:tcPr>
            <w:tcW w:w="239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CAAF1B3" w14:textId="77777777" w:rsidR="00462E59" w:rsidRPr="009F6C8F" w:rsidRDefault="006A5CDF" w:rsidP="00462E59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 xml:space="preserve">Supervisor’s </w:t>
            </w:r>
            <w:r w:rsidR="00462E59" w:rsidRPr="009F6C8F">
              <w:rPr>
                <w:b/>
                <w:sz w:val="20"/>
                <w:szCs w:val="20"/>
              </w:rPr>
              <w:t>Department</w:t>
            </w:r>
            <w:r w:rsidRPr="009F6C8F">
              <w:rPr>
                <w:b/>
                <w:sz w:val="20"/>
                <w:szCs w:val="20"/>
              </w:rPr>
              <w:t xml:space="preserve"> and Institution</w:t>
            </w:r>
            <w:r w:rsidR="00462E59" w:rsidRPr="009F6C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05072198" w14:textId="3A614F70" w:rsidR="00462E59" w:rsidRPr="009F6C8F" w:rsidRDefault="00CE5FC7" w:rsidP="00F7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</w:t>
            </w:r>
            <w:r w:rsidR="009D5B95">
              <w:rPr>
                <w:sz w:val="20"/>
                <w:szCs w:val="20"/>
              </w:rPr>
              <w:t xml:space="preserve"> Centre for Reproductive Health</w:t>
            </w:r>
            <w:r>
              <w:rPr>
                <w:sz w:val="20"/>
                <w:szCs w:val="20"/>
              </w:rPr>
              <w:t>, University of Edinburgh</w:t>
            </w:r>
          </w:p>
        </w:tc>
      </w:tr>
      <w:tr w:rsidR="009F6C8F" w:rsidRPr="009F6C8F" w14:paraId="3AB52B42" w14:textId="77777777" w:rsidTr="000C2123">
        <w:tc>
          <w:tcPr>
            <w:tcW w:w="1710" w:type="dxa"/>
            <w:shd w:val="clear" w:color="auto" w:fill="auto"/>
          </w:tcPr>
          <w:p w14:paraId="0FBDDD9B" w14:textId="77777777" w:rsidR="009F6C8F" w:rsidRPr="009F6C8F" w:rsidRDefault="009F6C8F" w:rsidP="00FA2F66">
            <w:pPr>
              <w:rPr>
                <w:b/>
                <w:sz w:val="20"/>
                <w:szCs w:val="20"/>
              </w:rPr>
            </w:pPr>
            <w:r w:rsidRPr="009F6C8F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7866" w:type="dxa"/>
            <w:gridSpan w:val="3"/>
          </w:tcPr>
          <w:p w14:paraId="01EB4B52" w14:textId="0656587E" w:rsidR="009F6C8F" w:rsidRPr="009F6C8F" w:rsidRDefault="009D5B95" w:rsidP="00462E59">
            <w:pPr>
              <w:rPr>
                <w:sz w:val="20"/>
                <w:szCs w:val="20"/>
              </w:rPr>
            </w:pPr>
            <w:r w:rsidRPr="009D5B95">
              <w:rPr>
                <w:sz w:val="20"/>
                <w:szCs w:val="20"/>
              </w:rPr>
              <w:t>Study of the Impact of Selective Progesterone Receptor Modulators upon Apoptosis in the Human Endometrium</w:t>
            </w:r>
          </w:p>
        </w:tc>
      </w:tr>
    </w:tbl>
    <w:p w14:paraId="53494BBC" w14:textId="77777777" w:rsidR="00462E59" w:rsidRPr="009F6C8F" w:rsidRDefault="00462E59">
      <w:pPr>
        <w:rPr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A02D4B" w14:paraId="059FE333" w14:textId="77777777" w:rsidTr="006A5CDF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3DEB4416" w14:textId="77777777" w:rsidR="00D64670" w:rsidRPr="009F6C8F" w:rsidRDefault="006A5CDF" w:rsidP="006A5CDF">
            <w:pPr>
              <w:pStyle w:val="Heading2"/>
              <w:ind w:left="720" w:hanging="451"/>
              <w:rPr>
                <w:b/>
                <w:caps w:val="0"/>
                <w:sz w:val="20"/>
              </w:rPr>
            </w:pPr>
            <w:r w:rsidRPr="009F6C8F">
              <w:rPr>
                <w:b/>
                <w:caps w:val="0"/>
                <w:sz w:val="20"/>
              </w:rPr>
              <w:t xml:space="preserve">Briefly outline the background and aims of the project </w:t>
            </w:r>
            <w:r w:rsidRPr="009F6C8F">
              <w:rPr>
                <w:i/>
                <w:caps w:val="0"/>
                <w:sz w:val="20"/>
              </w:rPr>
              <w:t xml:space="preserve">(max </w:t>
            </w:r>
            <w:r w:rsidRPr="00286004">
              <w:rPr>
                <w:i/>
                <w:caps w:val="0"/>
                <w:sz w:val="20"/>
                <w:u w:val="single"/>
              </w:rPr>
              <w:t>200</w:t>
            </w:r>
            <w:r w:rsidRPr="009F6C8F">
              <w:rPr>
                <w:i/>
                <w:caps w:val="0"/>
                <w:sz w:val="20"/>
              </w:rPr>
              <w:t xml:space="preserve"> words)</w:t>
            </w:r>
          </w:p>
        </w:tc>
      </w:tr>
      <w:tr w:rsidR="000E5A8D" w:rsidRPr="00A02D4B" w14:paraId="4B758A72" w14:textId="77777777" w:rsidTr="006A5CD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001F516" w14:textId="20317BA5" w:rsidR="000E5A8D" w:rsidRDefault="001B0485" w:rsidP="00AD7EA9">
            <w:pPr>
              <w:rPr>
                <w:sz w:val="20"/>
                <w:szCs w:val="20"/>
              </w:rPr>
            </w:pPr>
            <w:r w:rsidRPr="001B0485">
              <w:rPr>
                <w:b/>
                <w:sz w:val="20"/>
                <w:szCs w:val="20"/>
              </w:rPr>
              <w:t>Background:</w:t>
            </w:r>
            <w:r>
              <w:rPr>
                <w:sz w:val="20"/>
                <w:szCs w:val="20"/>
              </w:rPr>
              <w:t xml:space="preserve"> </w:t>
            </w:r>
            <w:r w:rsidR="00205C8E" w:rsidRPr="00AD7EA9">
              <w:rPr>
                <w:sz w:val="20"/>
                <w:szCs w:val="20"/>
              </w:rPr>
              <w:t xml:space="preserve">Heavy menstrual bleeding affects around a quarter of reproductive aged women in the UK, causing various </w:t>
            </w:r>
            <w:r w:rsidR="00651331" w:rsidRPr="00AD7EA9">
              <w:rPr>
                <w:sz w:val="20"/>
                <w:szCs w:val="20"/>
              </w:rPr>
              <w:t>gynecological</w:t>
            </w:r>
            <w:r w:rsidR="00205C8E" w:rsidRPr="00AD7EA9">
              <w:rPr>
                <w:sz w:val="20"/>
                <w:szCs w:val="20"/>
              </w:rPr>
              <w:t xml:space="preserve"> and systemic morbidities</w:t>
            </w:r>
            <w:r w:rsidR="00AD7EA9">
              <w:rPr>
                <w:sz w:val="20"/>
                <w:szCs w:val="20"/>
              </w:rPr>
              <w:t xml:space="preserve"> to the affected individual</w:t>
            </w:r>
            <w:r w:rsidR="00205C8E" w:rsidRPr="00AD7EA9">
              <w:rPr>
                <w:sz w:val="20"/>
                <w:szCs w:val="20"/>
              </w:rPr>
              <w:t>. De</w:t>
            </w:r>
            <w:r w:rsidR="00AD7EA9">
              <w:rPr>
                <w:sz w:val="20"/>
                <w:szCs w:val="20"/>
              </w:rPr>
              <w:t>spite the high prevalence of heavy menstrual bleeding</w:t>
            </w:r>
            <w:r w:rsidR="00205C8E" w:rsidRPr="00AD7EA9">
              <w:rPr>
                <w:sz w:val="20"/>
                <w:szCs w:val="20"/>
              </w:rPr>
              <w:t xml:space="preserve"> and great suffering that it presents, current treatments are either ineffective or carry significant side effects. </w:t>
            </w:r>
            <w:r w:rsidR="00AD7EA9" w:rsidRPr="00AD7EA9">
              <w:rPr>
                <w:sz w:val="20"/>
                <w:szCs w:val="20"/>
              </w:rPr>
              <w:t>A unique drug class, termed selective progesterone receptor modulators (SPRMs), provide</w:t>
            </w:r>
            <w:r w:rsidR="00205C8E" w:rsidRPr="00AD7EA9">
              <w:rPr>
                <w:sz w:val="20"/>
                <w:szCs w:val="20"/>
              </w:rPr>
              <w:t xml:space="preserve"> an alternative pharmacological approach. These compounds exert a mixed agonistic and antagonistic effect on the progesterone receptor. Their ability to reduce menstrual bleeding in patients with fibroids has been demonstrated; however, their exact mechanism of action is not fully understood. The impact of SPRM administration has been well documented in uterine fibroid tissue, w</w:t>
            </w:r>
            <w:r w:rsidR="005C0F34">
              <w:rPr>
                <w:sz w:val="20"/>
                <w:szCs w:val="20"/>
              </w:rPr>
              <w:t>h</w:t>
            </w:r>
            <w:r w:rsidR="00205C8E" w:rsidRPr="00AD7EA9">
              <w:rPr>
                <w:sz w:val="20"/>
                <w:szCs w:val="20"/>
              </w:rPr>
              <w:t xml:space="preserve">ere it has been reported to increase apoptosis and reduce proliferation. However, there is currently a dearth of data </w:t>
            </w:r>
            <w:r w:rsidR="005C0F34">
              <w:rPr>
                <w:sz w:val="20"/>
                <w:szCs w:val="20"/>
              </w:rPr>
              <w:t>pertaining to</w:t>
            </w:r>
            <w:r w:rsidR="00205C8E" w:rsidRPr="00AD7EA9">
              <w:rPr>
                <w:sz w:val="20"/>
                <w:szCs w:val="20"/>
              </w:rPr>
              <w:t xml:space="preserve"> apoptosis in the uterine endometrium following SPRM treatment. Consequently, this project</w:t>
            </w:r>
            <w:r w:rsidR="00AD7EA9">
              <w:rPr>
                <w:sz w:val="20"/>
                <w:szCs w:val="20"/>
              </w:rPr>
              <w:t xml:space="preserve"> aimed to</w:t>
            </w:r>
            <w:r w:rsidR="00205C8E" w:rsidRPr="00AD7EA9">
              <w:rPr>
                <w:sz w:val="20"/>
                <w:szCs w:val="20"/>
              </w:rPr>
              <w:t xml:space="preserve"> investigate how apoptosis is modulated in the human endometrium following exposure to the SPRM, ulipristal acetate</w:t>
            </w:r>
            <w:r w:rsidR="00AD7EA9">
              <w:rPr>
                <w:sz w:val="20"/>
                <w:szCs w:val="20"/>
              </w:rPr>
              <w:t xml:space="preserve">. </w:t>
            </w:r>
            <w:r w:rsidR="00DB6759">
              <w:rPr>
                <w:sz w:val="20"/>
                <w:szCs w:val="20"/>
              </w:rPr>
              <w:t xml:space="preserve"> </w:t>
            </w:r>
          </w:p>
          <w:p w14:paraId="33575209" w14:textId="77777777" w:rsidR="00AD7EA9" w:rsidRDefault="00AD7EA9" w:rsidP="00AD7EA9">
            <w:pPr>
              <w:rPr>
                <w:sz w:val="20"/>
                <w:szCs w:val="20"/>
              </w:rPr>
            </w:pPr>
          </w:p>
          <w:p w14:paraId="61DBE1E2" w14:textId="71DB3978" w:rsidR="00AD7EA9" w:rsidRPr="009F6C8F" w:rsidRDefault="00AD7EA9" w:rsidP="00AD7EA9">
            <w:pPr>
              <w:rPr>
                <w:sz w:val="20"/>
              </w:rPr>
            </w:pPr>
            <w:r w:rsidRPr="00AD7EA9">
              <w:rPr>
                <w:b/>
                <w:sz w:val="20"/>
                <w:szCs w:val="20"/>
              </w:rPr>
              <w:t>Aims:</w:t>
            </w:r>
            <w:r>
              <w:rPr>
                <w:sz w:val="20"/>
                <w:szCs w:val="20"/>
              </w:rPr>
              <w:t xml:space="preserve"> </w:t>
            </w:r>
            <w:r w:rsidRPr="00AD7EA9">
              <w:rPr>
                <w:sz w:val="20"/>
                <w:szCs w:val="20"/>
              </w:rPr>
              <w:t>This project aimed to describe how the presence and location of specific apoptotic markers (Caspase-3, BAX and BCL-2) are altered in the endometrium following administration of the SPRM, ulipristal acetate.</w:t>
            </w:r>
          </w:p>
        </w:tc>
      </w:tr>
      <w:tr w:rsidR="00F47738" w:rsidRPr="00A02D4B" w14:paraId="622301B7" w14:textId="77777777" w:rsidTr="006A5CDF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774D0E1A" w14:textId="77777777" w:rsidR="00E1787C" w:rsidRPr="009F6C8F" w:rsidRDefault="006A5CDF" w:rsidP="00610889">
            <w:pPr>
              <w:pStyle w:val="ListParagraph"/>
              <w:numPr>
                <w:ilvl w:val="0"/>
                <w:numId w:val="0"/>
              </w:numPr>
              <w:ind w:left="269"/>
              <w:rPr>
                <w:b/>
                <w:caps/>
                <w:sz w:val="20"/>
              </w:rPr>
            </w:pPr>
            <w:r w:rsidRPr="009F6C8F">
              <w:rPr>
                <w:rStyle w:val="Heading2Char"/>
                <w:b/>
                <w:caps w:val="0"/>
                <w:sz w:val="20"/>
              </w:rPr>
              <w:t xml:space="preserve">Did the project change from that proposed in the application? </w:t>
            </w:r>
            <w:r w:rsidR="00610889">
              <w:rPr>
                <w:rStyle w:val="Heading2Char"/>
                <w:b/>
                <w:caps w:val="0"/>
                <w:sz w:val="20"/>
              </w:rPr>
              <w:t>I</w:t>
            </w:r>
            <w:r w:rsidRPr="009F6C8F">
              <w:rPr>
                <w:rStyle w:val="Heading2Char"/>
                <w:b/>
                <w:caps w:val="0"/>
                <w:sz w:val="20"/>
              </w:rPr>
              <w:t>f so, wh</w:t>
            </w:r>
            <w:r w:rsidR="00610889">
              <w:rPr>
                <w:rStyle w:val="Heading2Char"/>
                <w:b/>
                <w:caps w:val="0"/>
                <w:sz w:val="20"/>
              </w:rPr>
              <w:t>at changes were made and wh</w:t>
            </w:r>
            <w:r w:rsidRPr="009F6C8F">
              <w:rPr>
                <w:rStyle w:val="Heading2Char"/>
                <w:b/>
                <w:caps w:val="0"/>
                <w:sz w:val="20"/>
              </w:rPr>
              <w:t xml:space="preserve">y? </w:t>
            </w:r>
            <w:r w:rsidRPr="009F6C8F">
              <w:rPr>
                <w:rStyle w:val="Heading2Char"/>
                <w:i/>
                <w:caps w:val="0"/>
                <w:sz w:val="20"/>
              </w:rPr>
              <w:t xml:space="preserve">(max </w:t>
            </w:r>
            <w:r w:rsidR="00610889" w:rsidRPr="00286004">
              <w:rPr>
                <w:rStyle w:val="Heading2Char"/>
                <w:i/>
                <w:caps w:val="0"/>
                <w:sz w:val="20"/>
                <w:u w:val="single"/>
              </w:rPr>
              <w:t>1</w:t>
            </w:r>
            <w:r w:rsidRPr="00286004">
              <w:rPr>
                <w:rStyle w:val="Heading2Char"/>
                <w:i/>
                <w:caps w:val="0"/>
                <w:sz w:val="20"/>
                <w:u w:val="single"/>
              </w:rPr>
              <w:t xml:space="preserve">00 </w:t>
            </w:r>
            <w:r w:rsidRPr="009F6C8F">
              <w:rPr>
                <w:rStyle w:val="Heading2Char"/>
                <w:i/>
                <w:caps w:val="0"/>
                <w:sz w:val="20"/>
              </w:rPr>
              <w:t>words)</w:t>
            </w:r>
          </w:p>
        </w:tc>
      </w:tr>
      <w:tr w:rsidR="000E5A8D" w:rsidRPr="00A02D4B" w14:paraId="1A37315B" w14:textId="77777777" w:rsidTr="006A5CD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05B680" w14:textId="2191AD64" w:rsidR="000E5A8D" w:rsidRPr="009F6C8F" w:rsidRDefault="00745341" w:rsidP="00CE5FC7">
            <w:pPr>
              <w:pStyle w:val="ListParagraph"/>
              <w:numPr>
                <w:ilvl w:val="0"/>
                <w:numId w:val="0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In the project proposal, it was suggested that </w:t>
            </w:r>
            <w:proofErr w:type="spellStart"/>
            <w:r>
              <w:rPr>
                <w:sz w:val="20"/>
              </w:rPr>
              <w:t>RNAscope</w:t>
            </w:r>
            <w:proofErr w:type="spellEnd"/>
            <w:r>
              <w:rPr>
                <w:rFonts w:cstheme="minorHAnsi"/>
                <w:sz w:val="20"/>
              </w:rPr>
              <w:t>®</w:t>
            </w:r>
            <w:r w:rsidR="001A0AC4">
              <w:rPr>
                <w:sz w:val="20"/>
              </w:rPr>
              <w:t xml:space="preserve"> </w:t>
            </w:r>
            <w:r w:rsidR="003376DE">
              <w:rPr>
                <w:sz w:val="20"/>
              </w:rPr>
              <w:t xml:space="preserve">(a novel form of in situ hybridization) </w:t>
            </w:r>
            <w:r w:rsidR="006C4BD4">
              <w:rPr>
                <w:sz w:val="20"/>
              </w:rPr>
              <w:t>might</w:t>
            </w:r>
            <w:r w:rsidR="001A0AC4">
              <w:rPr>
                <w:sz w:val="20"/>
              </w:rPr>
              <w:t xml:space="preserve"> be used to</w:t>
            </w:r>
            <w:r>
              <w:rPr>
                <w:sz w:val="20"/>
              </w:rPr>
              <w:t xml:space="preserve"> study the localization </w:t>
            </w:r>
            <w:r w:rsidR="001A0AC4">
              <w:rPr>
                <w:sz w:val="20"/>
              </w:rPr>
              <w:t>of various apoptotic markers</w:t>
            </w:r>
            <w:r>
              <w:rPr>
                <w:sz w:val="20"/>
              </w:rPr>
              <w:t xml:space="preserve"> (BAX, BCL-2 and Caspase-3) following UPA treatment. Due to time constraints this was not possible, as priority was placed on completing immunohistochemical investigations</w:t>
            </w:r>
            <w:r w:rsidR="001A0AC4">
              <w:rPr>
                <w:sz w:val="20"/>
              </w:rPr>
              <w:t xml:space="preserve">. </w:t>
            </w:r>
          </w:p>
        </w:tc>
      </w:tr>
      <w:tr w:rsidR="00E1787C" w:rsidRPr="00A02D4B" w14:paraId="42CD6FDA" w14:textId="77777777" w:rsidTr="006A5CDF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526D366A" w14:textId="77777777" w:rsidR="00E1787C" w:rsidRPr="009F6C8F" w:rsidRDefault="006A5CDF" w:rsidP="009D7FC6">
            <w:pPr>
              <w:pStyle w:val="ListParagraph"/>
              <w:numPr>
                <w:ilvl w:val="0"/>
                <w:numId w:val="0"/>
              </w:numPr>
              <w:ind w:left="720" w:hanging="451"/>
              <w:rPr>
                <w:b/>
                <w:caps/>
                <w:sz w:val="20"/>
              </w:rPr>
            </w:pPr>
            <w:r w:rsidRPr="009F6C8F">
              <w:rPr>
                <w:rStyle w:val="Heading2Char"/>
                <w:b/>
                <w:caps w:val="0"/>
                <w:sz w:val="20"/>
              </w:rPr>
              <w:t>What were the main results</w:t>
            </w:r>
            <w:r w:rsidR="00610889">
              <w:rPr>
                <w:rStyle w:val="Heading2Char"/>
                <w:b/>
                <w:caps w:val="0"/>
                <w:sz w:val="20"/>
              </w:rPr>
              <w:t>/findings</w:t>
            </w:r>
            <w:r w:rsidRPr="009F6C8F">
              <w:rPr>
                <w:rStyle w:val="Heading2Char"/>
                <w:b/>
                <w:caps w:val="0"/>
                <w:sz w:val="20"/>
              </w:rPr>
              <w:t xml:space="preserve"> of the </w:t>
            </w:r>
            <w:r w:rsidR="00610889">
              <w:rPr>
                <w:rStyle w:val="Heading2Char"/>
                <w:b/>
                <w:caps w:val="0"/>
                <w:sz w:val="20"/>
              </w:rPr>
              <w:t>project</w:t>
            </w:r>
            <w:r w:rsidRPr="009F6C8F">
              <w:rPr>
                <w:rStyle w:val="Heading2Char"/>
                <w:b/>
                <w:caps w:val="0"/>
                <w:sz w:val="20"/>
              </w:rPr>
              <w:t xml:space="preserve">? </w:t>
            </w:r>
            <w:r w:rsidRPr="009F6C8F">
              <w:rPr>
                <w:rStyle w:val="Heading2Char"/>
                <w:i/>
                <w:caps w:val="0"/>
                <w:sz w:val="20"/>
              </w:rPr>
              <w:t xml:space="preserve">(max </w:t>
            </w:r>
            <w:r w:rsidR="009D7FC6" w:rsidRPr="00286004">
              <w:rPr>
                <w:rStyle w:val="Heading2Char"/>
                <w:i/>
                <w:caps w:val="0"/>
                <w:sz w:val="20"/>
                <w:u w:val="single"/>
              </w:rPr>
              <w:t>30</w:t>
            </w:r>
            <w:r w:rsidR="00610889" w:rsidRPr="00286004">
              <w:rPr>
                <w:rStyle w:val="Heading2Char"/>
                <w:i/>
                <w:caps w:val="0"/>
                <w:sz w:val="20"/>
                <w:u w:val="single"/>
              </w:rPr>
              <w:t>0</w:t>
            </w:r>
            <w:r w:rsidRPr="009F6C8F">
              <w:rPr>
                <w:rStyle w:val="Heading2Char"/>
                <w:i/>
                <w:caps w:val="0"/>
                <w:sz w:val="20"/>
              </w:rPr>
              <w:t xml:space="preserve"> words)</w:t>
            </w:r>
          </w:p>
        </w:tc>
      </w:tr>
      <w:tr w:rsidR="000E5A8D" w:rsidRPr="00A02D4B" w14:paraId="2B1BE860" w14:textId="77777777" w:rsidTr="006A5CD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360F8C" w14:textId="40D4C242" w:rsidR="005577E6" w:rsidRDefault="00D21514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D21514">
              <w:rPr>
                <w:b/>
                <w:sz w:val="20"/>
              </w:rPr>
              <w:t>qRT-PCR</w:t>
            </w:r>
            <w:r>
              <w:rPr>
                <w:sz w:val="20"/>
              </w:rPr>
              <w:t xml:space="preserve">: </w:t>
            </w:r>
            <w:r w:rsidRPr="00D21514">
              <w:rPr>
                <w:sz w:val="20"/>
              </w:rPr>
              <w:t>To investigate the impact of UPA upon BAX</w:t>
            </w:r>
            <w:r>
              <w:rPr>
                <w:sz w:val="20"/>
              </w:rPr>
              <w:t>, BCL-2 and Caspase-3</w:t>
            </w:r>
            <w:r w:rsidRPr="00D21514">
              <w:rPr>
                <w:sz w:val="20"/>
              </w:rPr>
              <w:t xml:space="preserve"> mRNA transcription in the endometrium, qRT-PCR was employed acro</w:t>
            </w:r>
            <w:r w:rsidR="00520896">
              <w:rPr>
                <w:sz w:val="20"/>
              </w:rPr>
              <w:t xml:space="preserve">ss a range of treatment stages: </w:t>
            </w:r>
            <w:r w:rsidRPr="00D21514">
              <w:rPr>
                <w:sz w:val="20"/>
              </w:rPr>
              <w:t>before treatment, at 6 months treatment and at 12 months, following treatment w</w:t>
            </w:r>
            <w:r w:rsidR="00520896">
              <w:rPr>
                <w:sz w:val="20"/>
              </w:rPr>
              <w:t>ithdrawal and a menstrual bleed</w:t>
            </w:r>
            <w:r w:rsidRPr="00D21514">
              <w:rPr>
                <w:sz w:val="20"/>
              </w:rPr>
              <w:t>.</w:t>
            </w:r>
            <w:r w:rsidR="006474B8">
              <w:rPr>
                <w:sz w:val="20"/>
              </w:rPr>
              <w:t xml:space="preserve"> Tissue samples were group</w:t>
            </w:r>
            <w:r w:rsidR="00AC26B3">
              <w:rPr>
                <w:sz w:val="20"/>
              </w:rPr>
              <w:t>ed</w:t>
            </w:r>
            <w:r w:rsidR="006474B8">
              <w:rPr>
                <w:sz w:val="20"/>
              </w:rPr>
              <w:t xml:space="preserve"> according to their menstrual stage prior to treatment, to allow for a valid </w:t>
            </w:r>
            <w:r w:rsidR="006474B8">
              <w:rPr>
                <w:sz w:val="20"/>
              </w:rPr>
              <w:lastRenderedPageBreak/>
              <w:t>comparison.</w:t>
            </w:r>
            <w:r w:rsidR="00AC26B3">
              <w:rPr>
                <w:sz w:val="20"/>
              </w:rPr>
              <w:t xml:space="preserve"> T</w:t>
            </w:r>
            <w:r w:rsidR="00CA1572">
              <w:rPr>
                <w:sz w:val="20"/>
              </w:rPr>
              <w:t xml:space="preserve">he samples collected at 12 months represented a wide variety of menstrual stages, </w:t>
            </w:r>
            <w:r w:rsidR="00AC26B3">
              <w:rPr>
                <w:sz w:val="20"/>
              </w:rPr>
              <w:t xml:space="preserve">therefore </w:t>
            </w:r>
            <w:r w:rsidR="00CA1572">
              <w:rPr>
                <w:sz w:val="20"/>
              </w:rPr>
              <w:t xml:space="preserve">analysis focused on </w:t>
            </w:r>
            <w:r w:rsidR="00AC26B3">
              <w:rPr>
                <w:sz w:val="20"/>
              </w:rPr>
              <w:t>comparisons between ‘no treatment’ and ‘6 months treatment’. D</w:t>
            </w:r>
            <w:r w:rsidRPr="00D21514">
              <w:rPr>
                <w:sz w:val="20"/>
              </w:rPr>
              <w:t>ata indicated reduced BAX mRNA expression</w:t>
            </w:r>
            <w:r>
              <w:rPr>
                <w:sz w:val="20"/>
              </w:rPr>
              <w:t xml:space="preserve"> in proliferative</w:t>
            </w:r>
            <w:r w:rsidR="002768B0">
              <w:rPr>
                <w:sz w:val="20"/>
              </w:rPr>
              <w:t xml:space="preserve"> stage</w:t>
            </w:r>
            <w:r w:rsidR="006474B8">
              <w:rPr>
                <w:sz w:val="20"/>
              </w:rPr>
              <w:t xml:space="preserve"> base-line</w:t>
            </w:r>
            <w:r w:rsidR="002768B0">
              <w:rPr>
                <w:sz w:val="20"/>
              </w:rPr>
              <w:t xml:space="preserve"> samples</w:t>
            </w:r>
            <w:r w:rsidR="00DB532F">
              <w:rPr>
                <w:sz w:val="20"/>
              </w:rPr>
              <w:t xml:space="preserve"> following</w:t>
            </w:r>
            <w:r w:rsidRPr="00D21514">
              <w:rPr>
                <w:sz w:val="20"/>
              </w:rPr>
              <w:t xml:space="preserve"> 6 months treat</w:t>
            </w:r>
            <w:r w:rsidR="00714962">
              <w:rPr>
                <w:sz w:val="20"/>
              </w:rPr>
              <w:t>ment</w:t>
            </w:r>
            <w:r w:rsidRPr="00D21514">
              <w:rPr>
                <w:sz w:val="20"/>
              </w:rPr>
              <w:t>, although there was no statistically significant difference</w:t>
            </w:r>
            <w:r w:rsidR="00A03CA9">
              <w:rPr>
                <w:sz w:val="20"/>
              </w:rPr>
              <w:t xml:space="preserve"> (p=0.126</w:t>
            </w:r>
            <w:r w:rsidRPr="00D21514">
              <w:rPr>
                <w:sz w:val="20"/>
              </w:rPr>
              <w:t>)</w:t>
            </w:r>
            <w:r>
              <w:rPr>
                <w:sz w:val="20"/>
              </w:rPr>
              <w:t>, while BAX mRNA expression in secretory</w:t>
            </w:r>
            <w:r w:rsidR="002768B0">
              <w:rPr>
                <w:sz w:val="20"/>
              </w:rPr>
              <w:t xml:space="preserve"> stage base-line samples</w:t>
            </w:r>
            <w:r>
              <w:rPr>
                <w:sz w:val="20"/>
              </w:rPr>
              <w:t xml:space="preserve"> exhibited no apparent trend</w:t>
            </w:r>
            <w:r w:rsidR="00714962">
              <w:rPr>
                <w:sz w:val="20"/>
              </w:rPr>
              <w:t xml:space="preserve"> (p=0.8441)</w:t>
            </w:r>
            <w:r>
              <w:rPr>
                <w:sz w:val="20"/>
              </w:rPr>
              <w:t xml:space="preserve">. </w:t>
            </w:r>
            <w:r w:rsidR="00775D3B">
              <w:rPr>
                <w:sz w:val="20"/>
              </w:rPr>
              <w:t xml:space="preserve">Proliferative base-line </w:t>
            </w:r>
            <w:r>
              <w:rPr>
                <w:sz w:val="20"/>
              </w:rPr>
              <w:t>BCL-2 d</w:t>
            </w:r>
            <w:r w:rsidR="00775D3B">
              <w:rPr>
                <w:sz w:val="20"/>
              </w:rPr>
              <w:t xml:space="preserve">ata showed an increase in </w:t>
            </w:r>
            <w:r w:rsidR="00E17DE8">
              <w:rPr>
                <w:sz w:val="20"/>
              </w:rPr>
              <w:t xml:space="preserve">relative </w:t>
            </w:r>
            <w:r w:rsidR="00775D3B">
              <w:rPr>
                <w:sz w:val="20"/>
              </w:rPr>
              <w:t>mRNA</w:t>
            </w:r>
            <w:r w:rsidR="00E17DE8">
              <w:rPr>
                <w:sz w:val="20"/>
              </w:rPr>
              <w:t xml:space="preserve"> expression</w:t>
            </w:r>
            <w:r>
              <w:rPr>
                <w:sz w:val="20"/>
              </w:rPr>
              <w:t xml:space="preserve"> following 6 months of UPA treatment</w:t>
            </w:r>
            <w:r w:rsidR="00E17DE8">
              <w:rPr>
                <w:sz w:val="20"/>
              </w:rPr>
              <w:t xml:space="preserve"> </w:t>
            </w:r>
            <w:r w:rsidR="00E17DE8" w:rsidRPr="00E17DE8">
              <w:rPr>
                <w:sz w:val="20"/>
              </w:rPr>
              <w:t>(p=0.032)</w:t>
            </w:r>
            <w:r w:rsidR="00A03CA9">
              <w:rPr>
                <w:sz w:val="20"/>
              </w:rPr>
              <w:t xml:space="preserve">, while secretory phase </w:t>
            </w:r>
            <w:r w:rsidR="003424F5">
              <w:rPr>
                <w:sz w:val="20"/>
              </w:rPr>
              <w:t xml:space="preserve">BCL-2 data showed no significant change </w:t>
            </w:r>
            <w:r w:rsidR="00AC26B3">
              <w:rPr>
                <w:sz w:val="20"/>
              </w:rPr>
              <w:t>during the same period</w:t>
            </w:r>
            <w:r w:rsidR="003424F5">
              <w:rPr>
                <w:sz w:val="20"/>
              </w:rPr>
              <w:t xml:space="preserve"> (p= 0.094). </w:t>
            </w:r>
            <w:r>
              <w:rPr>
                <w:sz w:val="20"/>
              </w:rPr>
              <w:t>Caspase-3</w:t>
            </w:r>
            <w:r w:rsidR="00A03CA9">
              <w:rPr>
                <w:sz w:val="20"/>
              </w:rPr>
              <w:t xml:space="preserve"> </w:t>
            </w:r>
            <w:r w:rsidR="00714962">
              <w:rPr>
                <w:sz w:val="20"/>
              </w:rPr>
              <w:t>mRNA expression exhibited no significant change</w:t>
            </w:r>
            <w:r w:rsidR="00E5521F">
              <w:rPr>
                <w:sz w:val="20"/>
              </w:rPr>
              <w:t xml:space="preserve"> between 0 and 6 months</w:t>
            </w:r>
            <w:r w:rsidR="00714962">
              <w:rPr>
                <w:sz w:val="20"/>
              </w:rPr>
              <w:t xml:space="preserve"> </w:t>
            </w:r>
            <w:r w:rsidR="0092360C">
              <w:rPr>
                <w:sz w:val="20"/>
              </w:rPr>
              <w:t>for</w:t>
            </w:r>
            <w:r w:rsidR="00E5521F">
              <w:rPr>
                <w:sz w:val="20"/>
              </w:rPr>
              <w:t xml:space="preserve"> both secretory and</w:t>
            </w:r>
            <w:r w:rsidR="0092360C">
              <w:rPr>
                <w:sz w:val="20"/>
              </w:rPr>
              <w:t xml:space="preserve"> prolifer</w:t>
            </w:r>
            <w:r w:rsidR="00305969">
              <w:rPr>
                <w:sz w:val="20"/>
              </w:rPr>
              <w:t>ative data (p&gt;0</w:t>
            </w:r>
            <w:r w:rsidR="00DB532F">
              <w:rPr>
                <w:sz w:val="20"/>
              </w:rPr>
              <w:t>.999 for both</w:t>
            </w:r>
            <w:r w:rsidR="00305969">
              <w:rPr>
                <w:sz w:val="20"/>
              </w:rPr>
              <w:t xml:space="preserve">). </w:t>
            </w:r>
            <w:r w:rsidR="00E164C0">
              <w:rPr>
                <w:sz w:val="20"/>
              </w:rPr>
              <w:t>Previous</w:t>
            </w:r>
            <w:r w:rsidR="0024447F">
              <w:rPr>
                <w:sz w:val="20"/>
              </w:rPr>
              <w:t xml:space="preserve"> literature has demonstrated that e</w:t>
            </w:r>
            <w:r w:rsidR="0024447F" w:rsidRPr="0024447F">
              <w:rPr>
                <w:sz w:val="20"/>
              </w:rPr>
              <w:t>ndometrial apoptosis varies across the physiologically healthy menstrual cycle, with highest levels seen during late secretory and menstrual phase</w:t>
            </w:r>
            <w:r w:rsidR="00E164C0">
              <w:rPr>
                <w:sz w:val="20"/>
              </w:rPr>
              <w:t>s</w:t>
            </w:r>
            <w:r w:rsidR="0024447F" w:rsidRPr="0024447F">
              <w:rPr>
                <w:sz w:val="20"/>
              </w:rPr>
              <w:t xml:space="preserve"> (Maybin &amp; Critchley, 2015).</w:t>
            </w:r>
          </w:p>
          <w:p w14:paraId="27460D0D" w14:textId="77777777" w:rsidR="00D21514" w:rsidRDefault="00D21514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b/>
                <w:sz w:val="20"/>
              </w:rPr>
              <w:t>Immunohistochemistry</w:t>
            </w:r>
            <w:r w:rsidRPr="00D2151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B57865">
              <w:rPr>
                <w:sz w:val="20"/>
              </w:rPr>
              <w:t xml:space="preserve">Due to time constraints, </w:t>
            </w:r>
            <w:r w:rsidR="00CA1572">
              <w:rPr>
                <w:sz w:val="20"/>
              </w:rPr>
              <w:t xml:space="preserve">it was only possible for </w:t>
            </w:r>
            <w:r w:rsidR="005C0F34">
              <w:rPr>
                <w:sz w:val="20"/>
              </w:rPr>
              <w:t xml:space="preserve">the anti-apoptotic marker, </w:t>
            </w:r>
            <w:r w:rsidR="00CA1572">
              <w:rPr>
                <w:sz w:val="20"/>
              </w:rPr>
              <w:t>BCL-2 to be</w:t>
            </w:r>
            <w:r w:rsidR="00851044">
              <w:rPr>
                <w:sz w:val="20"/>
              </w:rPr>
              <w:t xml:space="preserve"> </w:t>
            </w:r>
            <w:proofErr w:type="spellStart"/>
            <w:r w:rsidR="005C0F34">
              <w:rPr>
                <w:sz w:val="20"/>
              </w:rPr>
              <w:t>inmmuno</w:t>
            </w:r>
            <w:proofErr w:type="spellEnd"/>
            <w:r w:rsidR="005C0F34">
              <w:rPr>
                <w:sz w:val="20"/>
              </w:rPr>
              <w:t>-</w:t>
            </w:r>
            <w:r w:rsidR="00851044">
              <w:rPr>
                <w:sz w:val="20"/>
              </w:rPr>
              <w:t>stained,</w:t>
            </w:r>
            <w:r w:rsidR="00B57865">
              <w:rPr>
                <w:sz w:val="20"/>
              </w:rPr>
              <w:t xml:space="preserve"> </w:t>
            </w:r>
            <w:proofErr w:type="spellStart"/>
            <w:r w:rsidR="00B57865">
              <w:rPr>
                <w:sz w:val="20"/>
              </w:rPr>
              <w:t>histoscored</w:t>
            </w:r>
            <w:proofErr w:type="spellEnd"/>
            <w:r w:rsidR="00B57865">
              <w:rPr>
                <w:sz w:val="20"/>
              </w:rPr>
              <w:t xml:space="preserve"> and </w:t>
            </w:r>
            <w:proofErr w:type="spellStart"/>
            <w:r w:rsidR="00B57865">
              <w:rPr>
                <w:sz w:val="20"/>
              </w:rPr>
              <w:t>analysed</w:t>
            </w:r>
            <w:proofErr w:type="spellEnd"/>
            <w:r w:rsidR="00B57865">
              <w:rPr>
                <w:sz w:val="20"/>
              </w:rPr>
              <w:t xml:space="preserve">. </w:t>
            </w:r>
            <w:r w:rsidR="00CA1572">
              <w:rPr>
                <w:sz w:val="20"/>
              </w:rPr>
              <w:t xml:space="preserve">The slides were blinded and then scored by three separate observers. </w:t>
            </w:r>
            <w:r w:rsidR="00B57865">
              <w:rPr>
                <w:sz w:val="20"/>
              </w:rPr>
              <w:t xml:space="preserve">The data showed </w:t>
            </w:r>
            <w:r w:rsidR="007B1EE6">
              <w:rPr>
                <w:sz w:val="20"/>
              </w:rPr>
              <w:t xml:space="preserve">an increase in glandular BCL-2 staining between 0 and 6 months in the secretory base-line samples. All other histoscore results revealed no obvious trends. </w:t>
            </w:r>
          </w:p>
          <w:p w14:paraId="5E48D4E3" w14:textId="526ACEB6" w:rsidR="0024447F" w:rsidRPr="00E164C0" w:rsidRDefault="0024447F" w:rsidP="00CE5FC7">
            <w:pPr>
              <w:pStyle w:val="ListParagraph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E164C0">
              <w:rPr>
                <w:i/>
              </w:rPr>
              <w:t>Maybin JA &amp; Critchley HO (2015). Menstrual physiology: implications for endometrial pathology and beyond. Human Reproduction Update 21, 748–761.</w:t>
            </w:r>
          </w:p>
        </w:tc>
      </w:tr>
      <w:tr w:rsidR="00E1787C" w:rsidRPr="00A02D4B" w14:paraId="07465343" w14:textId="77777777" w:rsidTr="006A5CDF">
        <w:trPr>
          <w:trHeight w:val="75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68AE7188" w14:textId="77777777" w:rsidR="00E1787C" w:rsidRPr="009F6C8F" w:rsidRDefault="006A5CDF" w:rsidP="00610889">
            <w:pPr>
              <w:pStyle w:val="Heading2"/>
              <w:ind w:left="720" w:hanging="451"/>
              <w:rPr>
                <w:b/>
                <w:caps w:val="0"/>
                <w:sz w:val="20"/>
              </w:rPr>
            </w:pPr>
            <w:r w:rsidRPr="009F6C8F">
              <w:rPr>
                <w:b/>
                <w:caps w:val="0"/>
                <w:sz w:val="20"/>
              </w:rPr>
              <w:lastRenderedPageBreak/>
              <w:t xml:space="preserve">What do you conclude from your findings? </w:t>
            </w:r>
            <w:r w:rsidRPr="009F6C8F">
              <w:rPr>
                <w:i/>
                <w:caps w:val="0"/>
                <w:sz w:val="20"/>
              </w:rPr>
              <w:t>(</w:t>
            </w:r>
            <w:r w:rsidR="009F6C8F">
              <w:rPr>
                <w:i/>
                <w:caps w:val="0"/>
                <w:sz w:val="20"/>
              </w:rPr>
              <w:t>m</w:t>
            </w:r>
            <w:r w:rsidRPr="009F6C8F">
              <w:rPr>
                <w:i/>
                <w:caps w:val="0"/>
                <w:sz w:val="20"/>
              </w:rPr>
              <w:t xml:space="preserve">ax </w:t>
            </w:r>
            <w:r w:rsidR="00610889" w:rsidRPr="00286004">
              <w:rPr>
                <w:i/>
                <w:caps w:val="0"/>
                <w:sz w:val="20"/>
                <w:u w:val="single"/>
              </w:rPr>
              <w:t>150</w:t>
            </w:r>
            <w:r w:rsidRPr="009F6C8F">
              <w:rPr>
                <w:i/>
                <w:caps w:val="0"/>
                <w:sz w:val="20"/>
              </w:rPr>
              <w:t xml:space="preserve"> words)</w:t>
            </w:r>
          </w:p>
        </w:tc>
      </w:tr>
      <w:tr w:rsidR="00902FF7" w:rsidRPr="00A02D4B" w14:paraId="63C99744" w14:textId="77777777" w:rsidTr="006A5CD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14B96" w14:textId="491C3DA0" w:rsidR="00902FF7" w:rsidRDefault="002768B0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Although results lacked statistical significance across the board, the findings presented here suggest there may be a decrease in endometrial apoptosis following ulipristal acetate administration. </w:t>
            </w:r>
            <w:r w:rsidRPr="002768B0">
              <w:rPr>
                <w:sz w:val="20"/>
              </w:rPr>
              <w:t>Caspase-3 and BAX (pro-apoptot</w:t>
            </w:r>
            <w:r w:rsidR="008B5BBB">
              <w:rPr>
                <w:sz w:val="20"/>
              </w:rPr>
              <w:t>ic markers) expression was generally observed to decrease</w:t>
            </w:r>
            <w:r w:rsidRPr="002768B0">
              <w:rPr>
                <w:sz w:val="20"/>
              </w:rPr>
              <w:t xml:space="preserve"> following UPA treatment while BCL-2 (</w:t>
            </w:r>
            <w:r w:rsidR="008B5BBB">
              <w:rPr>
                <w:sz w:val="20"/>
              </w:rPr>
              <w:t xml:space="preserve">an </w:t>
            </w:r>
            <w:r w:rsidRPr="002768B0">
              <w:rPr>
                <w:sz w:val="20"/>
              </w:rPr>
              <w:t>anti-apoptotic marker) expression increased</w:t>
            </w:r>
            <w:r w:rsidR="008B5BBB">
              <w:rPr>
                <w:sz w:val="20"/>
              </w:rPr>
              <w:t xml:space="preserve">. </w:t>
            </w:r>
            <w:r w:rsidR="00477C60">
              <w:rPr>
                <w:sz w:val="20"/>
              </w:rPr>
              <w:t>However, this conclusion is</w:t>
            </w:r>
            <w:r w:rsidR="008B5BBB">
              <w:rPr>
                <w:sz w:val="20"/>
              </w:rPr>
              <w:t xml:space="preserve"> base</w:t>
            </w:r>
            <w:r w:rsidR="00453F99">
              <w:rPr>
                <w:sz w:val="20"/>
              </w:rPr>
              <w:t xml:space="preserve">d on statistically insignificant </w:t>
            </w:r>
            <w:r w:rsidR="00EF6F19">
              <w:rPr>
                <w:sz w:val="20"/>
              </w:rPr>
              <w:t>trends;</w:t>
            </w:r>
            <w:r w:rsidR="00453F99">
              <w:rPr>
                <w:sz w:val="20"/>
              </w:rPr>
              <w:t xml:space="preserve"> therefore </w:t>
            </w:r>
            <w:r w:rsidR="001A0AC4">
              <w:rPr>
                <w:sz w:val="20"/>
              </w:rPr>
              <w:t xml:space="preserve">limiting the extrapolation of these findings. </w:t>
            </w:r>
          </w:p>
          <w:p w14:paraId="2FF4F78D" w14:textId="10DCEA97" w:rsidR="00254752" w:rsidRPr="00254752" w:rsidRDefault="00C02DAB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C02DAB">
              <w:rPr>
                <w:sz w:val="20"/>
              </w:rPr>
              <w:t>Apoptotic activity is only part of the equation however, as the balance between proliferation and apoptosis ultimately governs cell turnover within a tissue. It is therefore imp</w:t>
            </w:r>
            <w:r w:rsidR="00477C60">
              <w:rPr>
                <w:sz w:val="20"/>
              </w:rPr>
              <w:t>ortant</w:t>
            </w:r>
            <w:r w:rsidRPr="00C02DAB">
              <w:rPr>
                <w:sz w:val="20"/>
              </w:rPr>
              <w:t xml:space="preserve"> that the interaction and equilibrium between apoptosis and proliferation in the endometrium is fully understoo</w:t>
            </w:r>
            <w:r w:rsidR="003D1464">
              <w:rPr>
                <w:sz w:val="20"/>
              </w:rPr>
              <w:t>d before conclusions are drawn.</w:t>
            </w:r>
            <w:r w:rsidR="00254752">
              <w:rPr>
                <w:sz w:val="20"/>
              </w:rPr>
              <w:t xml:space="preserve"> Therefore a possible future direction may be to </w:t>
            </w:r>
            <w:r w:rsidR="00D33D02">
              <w:rPr>
                <w:sz w:val="20"/>
              </w:rPr>
              <w:t>utilize</w:t>
            </w:r>
            <w:r w:rsidR="00254752">
              <w:rPr>
                <w:sz w:val="20"/>
              </w:rPr>
              <w:t xml:space="preserve"> another means of measuring apoptosis, for example a TUNEL assay, to confirm the </w:t>
            </w:r>
            <w:r w:rsidR="00D33D02">
              <w:rPr>
                <w:sz w:val="20"/>
              </w:rPr>
              <w:t>effect of UPA u</w:t>
            </w:r>
            <w:r w:rsidR="00254752">
              <w:rPr>
                <w:sz w:val="20"/>
              </w:rPr>
              <w:t>pon endometrial apoptosis</w:t>
            </w:r>
            <w:r w:rsidR="00160A80">
              <w:rPr>
                <w:sz w:val="20"/>
              </w:rPr>
              <w:t xml:space="preserve">. </w:t>
            </w:r>
          </w:p>
        </w:tc>
      </w:tr>
      <w:tr w:rsidR="006A5CDF" w:rsidRPr="00A02D4B" w14:paraId="35824E60" w14:textId="77777777" w:rsidTr="006A5CDF">
        <w:trPr>
          <w:trHeight w:val="75"/>
        </w:trPr>
        <w:tc>
          <w:tcPr>
            <w:tcW w:w="9576" w:type="dxa"/>
            <w:shd w:val="clear" w:color="auto" w:fill="F2F2F2" w:themeFill="background1" w:themeFillShade="F2"/>
          </w:tcPr>
          <w:p w14:paraId="47BCEAA3" w14:textId="77777777" w:rsidR="006A5CDF" w:rsidRPr="009F6C8F" w:rsidRDefault="006A5CDF" w:rsidP="009F6C8F">
            <w:pPr>
              <w:pStyle w:val="Heading2"/>
              <w:ind w:left="269"/>
              <w:rPr>
                <w:b/>
                <w:caps w:val="0"/>
                <w:sz w:val="20"/>
              </w:rPr>
            </w:pPr>
            <w:r w:rsidRPr="009F6C8F">
              <w:rPr>
                <w:b/>
                <w:caps w:val="0"/>
                <w:sz w:val="20"/>
              </w:rPr>
              <w:t>H</w:t>
            </w:r>
            <w:r w:rsidR="009F6C8F" w:rsidRPr="009F6C8F">
              <w:rPr>
                <w:b/>
                <w:caps w:val="0"/>
                <w:sz w:val="20"/>
              </w:rPr>
              <w:t>ow has</w:t>
            </w:r>
            <w:r w:rsidRPr="009F6C8F">
              <w:rPr>
                <w:b/>
                <w:caps w:val="0"/>
                <w:sz w:val="20"/>
              </w:rPr>
              <w:t xml:space="preserve"> this experience influenced your thinking regarding your future/ongoing studies, and/or career choice?</w:t>
            </w:r>
            <w:r w:rsidR="009F6C8F" w:rsidRPr="009F6C8F">
              <w:rPr>
                <w:b/>
                <w:caps w:val="0"/>
                <w:sz w:val="20"/>
              </w:rPr>
              <w:t xml:space="preserve"> </w:t>
            </w:r>
            <w:r w:rsidRPr="009F6C8F">
              <w:rPr>
                <w:i/>
                <w:caps w:val="0"/>
                <w:sz w:val="20"/>
              </w:rPr>
              <w:t xml:space="preserve">(max 150 words) </w:t>
            </w:r>
            <w:r w:rsidRPr="009F6C8F">
              <w:rPr>
                <w:b/>
                <w:caps w:val="0"/>
                <w:sz w:val="20"/>
              </w:rPr>
              <w:t xml:space="preserve"> </w:t>
            </w:r>
          </w:p>
        </w:tc>
      </w:tr>
      <w:tr w:rsidR="006A5CDF" w:rsidRPr="00A02D4B" w14:paraId="66089D1A" w14:textId="77777777" w:rsidTr="006A5CDF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91970A" w14:textId="54741D7D" w:rsidR="00D11A30" w:rsidRDefault="00F14B85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Having undertaken two years of medical school prior to intercalating in reproductive biology, I had relatively limited experience of </w:t>
            </w:r>
            <w:r w:rsidR="00160A80">
              <w:rPr>
                <w:sz w:val="20"/>
              </w:rPr>
              <w:t xml:space="preserve">practical </w:t>
            </w:r>
            <w:r w:rsidR="00F309A6">
              <w:rPr>
                <w:sz w:val="20"/>
              </w:rPr>
              <w:t xml:space="preserve">research. </w:t>
            </w:r>
            <w:r w:rsidR="007B6148">
              <w:rPr>
                <w:sz w:val="20"/>
              </w:rPr>
              <w:t xml:space="preserve">For this reason, I decided that I would like to gain practical laboratory experience during my intercalated year, as this was an area </w:t>
            </w:r>
            <w:r w:rsidR="005C0F34">
              <w:rPr>
                <w:sz w:val="20"/>
              </w:rPr>
              <w:t xml:space="preserve">in which </w:t>
            </w:r>
            <w:r w:rsidR="007B6148">
              <w:rPr>
                <w:sz w:val="20"/>
              </w:rPr>
              <w:t xml:space="preserve">I had always been interested. I was fortunate to undertake my honours project in the </w:t>
            </w:r>
            <w:r w:rsidR="005C0F34">
              <w:rPr>
                <w:sz w:val="20"/>
              </w:rPr>
              <w:t>MRC Centre for Reproductive Health,</w:t>
            </w:r>
            <w:r w:rsidR="002D23F7">
              <w:rPr>
                <w:sz w:val="20"/>
              </w:rPr>
              <w:t xml:space="preserve"> (MRC CRH)</w:t>
            </w:r>
            <w:r w:rsidR="007B6148">
              <w:rPr>
                <w:sz w:val="20"/>
              </w:rPr>
              <w:t xml:space="preserve">, Edinburgh, supervised by Prof. Hilary Critchley. I really enjoyed this experience and </w:t>
            </w:r>
            <w:r w:rsidR="00597BB0">
              <w:rPr>
                <w:sz w:val="20"/>
              </w:rPr>
              <w:t xml:space="preserve">therefore applied for the </w:t>
            </w:r>
            <w:r w:rsidR="002D23F7">
              <w:rPr>
                <w:sz w:val="20"/>
              </w:rPr>
              <w:t>SRF summer vacation scholarship.</w:t>
            </w:r>
          </w:p>
          <w:p w14:paraId="63058693" w14:textId="6AF3EE6C" w:rsidR="006A5CDF" w:rsidRPr="009F6C8F" w:rsidRDefault="00D11A30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Having now completed my summer project, I feel I have benefited hugely from the scholarship. Having known very little about research only 9 months ago, I now feel comfortable with some common laboratory techniques, I </w:t>
            </w:r>
            <w:r w:rsidR="005C0F34">
              <w:rPr>
                <w:sz w:val="20"/>
              </w:rPr>
              <w:t>am able to analyse</w:t>
            </w:r>
            <w:r w:rsidR="005B3794">
              <w:rPr>
                <w:sz w:val="20"/>
              </w:rPr>
              <w:t xml:space="preserve"> </w:t>
            </w:r>
            <w:r>
              <w:rPr>
                <w:sz w:val="20"/>
              </w:rPr>
              <w:t>data more confidently and have a m</w:t>
            </w:r>
            <w:r w:rsidR="00160A80">
              <w:rPr>
                <w:sz w:val="20"/>
              </w:rPr>
              <w:t>uch greater understanding of how</w:t>
            </w:r>
            <w:r>
              <w:rPr>
                <w:sz w:val="20"/>
              </w:rPr>
              <w:t xml:space="preserve"> </w:t>
            </w:r>
            <w:r w:rsidR="00A50B73">
              <w:rPr>
                <w:sz w:val="20"/>
              </w:rPr>
              <w:t xml:space="preserve">a research group functions in the real world. </w:t>
            </w:r>
          </w:p>
        </w:tc>
      </w:tr>
      <w:tr w:rsidR="006A5CDF" w:rsidRPr="00A02D4B" w14:paraId="0A725054" w14:textId="77777777" w:rsidTr="006A5CDF">
        <w:trPr>
          <w:trHeight w:val="135"/>
        </w:trPr>
        <w:tc>
          <w:tcPr>
            <w:tcW w:w="9576" w:type="dxa"/>
            <w:shd w:val="clear" w:color="auto" w:fill="F2F2F2" w:themeFill="background1" w:themeFillShade="F2"/>
          </w:tcPr>
          <w:p w14:paraId="737FD744" w14:textId="77777777" w:rsidR="006A5CDF" w:rsidRPr="009F6C8F" w:rsidRDefault="009F6C8F" w:rsidP="009D7FC6">
            <w:pPr>
              <w:pStyle w:val="Heading2"/>
              <w:ind w:left="269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>Please use the space below to add a</w:t>
            </w:r>
            <w:r w:rsidRPr="009F6C8F">
              <w:rPr>
                <w:b/>
                <w:caps w:val="0"/>
                <w:sz w:val="20"/>
              </w:rPr>
              <w:t>ny other comments/thoughts</w:t>
            </w:r>
            <w:r>
              <w:rPr>
                <w:b/>
                <w:caps w:val="0"/>
                <w:sz w:val="20"/>
              </w:rPr>
              <w:t xml:space="preserve"> about the SRF Vacation Scholarship</w:t>
            </w:r>
            <w:r w:rsidRPr="009F6C8F">
              <w:rPr>
                <w:b/>
                <w:caps w:val="0"/>
                <w:sz w:val="20"/>
              </w:rPr>
              <w:t xml:space="preserve"> </w:t>
            </w:r>
            <w:r w:rsidRPr="009F6C8F">
              <w:rPr>
                <w:i/>
                <w:caps w:val="0"/>
                <w:sz w:val="20"/>
              </w:rPr>
              <w:t xml:space="preserve">(max </w:t>
            </w:r>
            <w:r w:rsidR="009D7FC6" w:rsidRPr="00286004">
              <w:rPr>
                <w:i/>
                <w:caps w:val="0"/>
                <w:sz w:val="20"/>
                <w:u w:val="single"/>
              </w:rPr>
              <w:t>1</w:t>
            </w:r>
            <w:r w:rsidRPr="00286004">
              <w:rPr>
                <w:i/>
                <w:caps w:val="0"/>
                <w:sz w:val="20"/>
                <w:u w:val="single"/>
              </w:rPr>
              <w:t>00</w:t>
            </w:r>
            <w:r w:rsidRPr="009F6C8F">
              <w:rPr>
                <w:i/>
                <w:caps w:val="0"/>
                <w:sz w:val="20"/>
              </w:rPr>
              <w:t xml:space="preserve"> words)</w:t>
            </w:r>
          </w:p>
        </w:tc>
      </w:tr>
      <w:tr w:rsidR="006A5CDF" w:rsidRPr="00A02D4B" w14:paraId="62D8E25A" w14:textId="77777777" w:rsidTr="006A5CDF">
        <w:tc>
          <w:tcPr>
            <w:tcW w:w="9576" w:type="dxa"/>
            <w:shd w:val="clear" w:color="auto" w:fill="auto"/>
          </w:tcPr>
          <w:p w14:paraId="7FF49551" w14:textId="5D3AD00A" w:rsidR="009F6C8F" w:rsidRPr="005C0F34" w:rsidRDefault="009F6C8F" w:rsidP="00CE5FC7">
            <w:pPr>
              <w:pStyle w:val="ListParagraph"/>
              <w:numPr>
                <w:ilvl w:val="0"/>
                <w:numId w:val="0"/>
              </w:numPr>
            </w:pPr>
            <w:r w:rsidRPr="009F6C8F">
              <w:rPr>
                <w:b/>
                <w:i/>
                <w:sz w:val="20"/>
              </w:rPr>
              <w:t>Student:</w:t>
            </w:r>
            <w:r>
              <w:rPr>
                <w:b/>
                <w:i/>
                <w:sz w:val="20"/>
              </w:rPr>
              <w:t xml:space="preserve"> </w:t>
            </w:r>
            <w:r w:rsidR="00182645" w:rsidRPr="003A543E">
              <w:rPr>
                <w:i/>
                <w:sz w:val="20"/>
              </w:rPr>
              <w:t xml:space="preserve">I am hugely grateful to have been a recipient of the SRF summer vacation scholarship, it gave me a great opportunity to continue working in the </w:t>
            </w:r>
            <w:r w:rsidR="005C0F34">
              <w:rPr>
                <w:i/>
                <w:sz w:val="20"/>
              </w:rPr>
              <w:t xml:space="preserve">MRC CRH </w:t>
            </w:r>
            <w:r w:rsidR="00182645" w:rsidRPr="003A543E">
              <w:rPr>
                <w:i/>
                <w:sz w:val="20"/>
              </w:rPr>
              <w:t>over summer and to learn more about biomedical research.</w:t>
            </w:r>
            <w:r w:rsidR="00182645">
              <w:rPr>
                <w:b/>
                <w:i/>
                <w:sz w:val="20"/>
              </w:rPr>
              <w:t xml:space="preserve"> </w:t>
            </w:r>
          </w:p>
          <w:p w14:paraId="651146E0" w14:textId="25D8AFA3" w:rsidR="009F6C8F" w:rsidRPr="009F6C8F" w:rsidRDefault="009F6C8F" w:rsidP="00CE5FC7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9F6C8F">
              <w:rPr>
                <w:b/>
                <w:i/>
                <w:sz w:val="20"/>
              </w:rPr>
              <w:t>Supervisor:</w:t>
            </w:r>
            <w:r>
              <w:rPr>
                <w:b/>
                <w:i/>
                <w:sz w:val="20"/>
              </w:rPr>
              <w:t xml:space="preserve"> </w:t>
            </w:r>
            <w:r w:rsidR="005C0F34" w:rsidRPr="00E164C0">
              <w:rPr>
                <w:i/>
                <w:sz w:val="20"/>
              </w:rPr>
              <w:t xml:space="preserve">Robert worked diligently and proved himself to be a valued contributor and member of my laboratory team. He always responded </w:t>
            </w:r>
            <w:bookmarkStart w:id="0" w:name="_GoBack"/>
            <w:bookmarkEnd w:id="0"/>
            <w:r w:rsidR="005C0F34" w:rsidRPr="00E164C0">
              <w:rPr>
                <w:i/>
                <w:sz w:val="20"/>
              </w:rPr>
              <w:t>well to constructive comments and advice. I believe th</w:t>
            </w:r>
            <w:r w:rsidR="00352DD2">
              <w:rPr>
                <w:i/>
                <w:sz w:val="20"/>
              </w:rPr>
              <w:t>is</w:t>
            </w:r>
            <w:r w:rsidR="005C0F34" w:rsidRPr="00E164C0">
              <w:rPr>
                <w:i/>
                <w:sz w:val="20"/>
              </w:rPr>
              <w:t xml:space="preserve"> further laboratory-based experience will have </w:t>
            </w:r>
            <w:r w:rsidR="00352DD2">
              <w:rPr>
                <w:i/>
                <w:sz w:val="20"/>
              </w:rPr>
              <w:t xml:space="preserve">helped </w:t>
            </w:r>
            <w:r w:rsidR="005C0F34" w:rsidRPr="00E164C0">
              <w:rPr>
                <w:i/>
                <w:sz w:val="20"/>
              </w:rPr>
              <w:t xml:space="preserve">him understand better steps involved in translating bench-science to the bedside. </w:t>
            </w:r>
            <w:r w:rsidR="00352DD2">
              <w:rPr>
                <w:i/>
                <w:sz w:val="20"/>
              </w:rPr>
              <w:t xml:space="preserve">I </w:t>
            </w:r>
            <w:r w:rsidR="005C0F34" w:rsidRPr="00E164C0">
              <w:rPr>
                <w:i/>
                <w:sz w:val="20"/>
              </w:rPr>
              <w:t xml:space="preserve">hope he may wish to return to work with us again </w:t>
            </w:r>
            <w:r w:rsidR="00352DD2">
              <w:rPr>
                <w:i/>
                <w:sz w:val="20"/>
              </w:rPr>
              <w:t xml:space="preserve">if </w:t>
            </w:r>
            <w:r w:rsidR="005C0F34" w:rsidRPr="00E164C0">
              <w:rPr>
                <w:i/>
                <w:sz w:val="20"/>
              </w:rPr>
              <w:t>opportunity arise</w:t>
            </w:r>
            <w:r w:rsidR="00352DD2">
              <w:rPr>
                <w:i/>
                <w:sz w:val="20"/>
              </w:rPr>
              <w:t>s</w:t>
            </w:r>
            <w:r w:rsidR="005C0F34" w:rsidRPr="00E164C0">
              <w:rPr>
                <w:i/>
                <w:sz w:val="20"/>
              </w:rPr>
              <w:t>.</w:t>
            </w:r>
            <w:r w:rsidR="005C0F34">
              <w:rPr>
                <w:b/>
                <w:i/>
                <w:sz w:val="20"/>
              </w:rPr>
              <w:t xml:space="preserve"> </w:t>
            </w:r>
          </w:p>
        </w:tc>
      </w:tr>
    </w:tbl>
    <w:p w14:paraId="357094E0" w14:textId="77777777" w:rsidR="00462E59" w:rsidRPr="00112CAF" w:rsidRDefault="00462E59">
      <w:pPr>
        <w:rPr>
          <w:sz w:val="10"/>
          <w:szCs w:val="10"/>
        </w:rPr>
      </w:pPr>
    </w:p>
    <w:p w14:paraId="3B0C2AB8" w14:textId="77777777"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330CBF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4B3D"/>
    <w:multiLevelType w:val="hybridMultilevel"/>
    <w:tmpl w:val="DD78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F"/>
    <w:rsid w:val="000A3E33"/>
    <w:rsid w:val="000E5A8D"/>
    <w:rsid w:val="00112CAF"/>
    <w:rsid w:val="00160A80"/>
    <w:rsid w:val="00182645"/>
    <w:rsid w:val="001A0AC4"/>
    <w:rsid w:val="001B0485"/>
    <w:rsid w:val="001C103F"/>
    <w:rsid w:val="001D49CE"/>
    <w:rsid w:val="00205C8E"/>
    <w:rsid w:val="0024447F"/>
    <w:rsid w:val="00254752"/>
    <w:rsid w:val="002574DA"/>
    <w:rsid w:val="00273FF7"/>
    <w:rsid w:val="002768B0"/>
    <w:rsid w:val="00286004"/>
    <w:rsid w:val="002D23F7"/>
    <w:rsid w:val="00305969"/>
    <w:rsid w:val="003063D4"/>
    <w:rsid w:val="00317866"/>
    <w:rsid w:val="00323672"/>
    <w:rsid w:val="00330CBF"/>
    <w:rsid w:val="003376DE"/>
    <w:rsid w:val="003424F5"/>
    <w:rsid w:val="00352DD2"/>
    <w:rsid w:val="00352EF1"/>
    <w:rsid w:val="0037471D"/>
    <w:rsid w:val="00380290"/>
    <w:rsid w:val="003A543E"/>
    <w:rsid w:val="003D001A"/>
    <w:rsid w:val="003D1464"/>
    <w:rsid w:val="00407231"/>
    <w:rsid w:val="00425472"/>
    <w:rsid w:val="00453994"/>
    <w:rsid w:val="00453F99"/>
    <w:rsid w:val="00462E59"/>
    <w:rsid w:val="0046692D"/>
    <w:rsid w:val="00477C60"/>
    <w:rsid w:val="004858E0"/>
    <w:rsid w:val="00506B90"/>
    <w:rsid w:val="00520896"/>
    <w:rsid w:val="00553C43"/>
    <w:rsid w:val="005577E6"/>
    <w:rsid w:val="00597BB0"/>
    <w:rsid w:val="005A490A"/>
    <w:rsid w:val="005A5E0B"/>
    <w:rsid w:val="005B3794"/>
    <w:rsid w:val="005C0F34"/>
    <w:rsid w:val="005E5E7E"/>
    <w:rsid w:val="00610889"/>
    <w:rsid w:val="00642B8C"/>
    <w:rsid w:val="006474B8"/>
    <w:rsid w:val="00651331"/>
    <w:rsid w:val="00681121"/>
    <w:rsid w:val="006A5CDF"/>
    <w:rsid w:val="006C4BD4"/>
    <w:rsid w:val="006E6BF2"/>
    <w:rsid w:val="00714962"/>
    <w:rsid w:val="007413A0"/>
    <w:rsid w:val="00745341"/>
    <w:rsid w:val="00754DDF"/>
    <w:rsid w:val="00775D3B"/>
    <w:rsid w:val="007901B9"/>
    <w:rsid w:val="007B1EE6"/>
    <w:rsid w:val="007B6148"/>
    <w:rsid w:val="007F76BA"/>
    <w:rsid w:val="008204E1"/>
    <w:rsid w:val="008227BC"/>
    <w:rsid w:val="00851044"/>
    <w:rsid w:val="008B5BBB"/>
    <w:rsid w:val="008E3F61"/>
    <w:rsid w:val="008F1786"/>
    <w:rsid w:val="00902FF7"/>
    <w:rsid w:val="0092360C"/>
    <w:rsid w:val="009317C5"/>
    <w:rsid w:val="009B5153"/>
    <w:rsid w:val="009C1580"/>
    <w:rsid w:val="009D5B95"/>
    <w:rsid w:val="009D7FC6"/>
    <w:rsid w:val="009E79B2"/>
    <w:rsid w:val="009F6C8F"/>
    <w:rsid w:val="00A02D4B"/>
    <w:rsid w:val="00A03CA9"/>
    <w:rsid w:val="00A162E0"/>
    <w:rsid w:val="00A50B73"/>
    <w:rsid w:val="00A77D50"/>
    <w:rsid w:val="00A806B1"/>
    <w:rsid w:val="00AA4EDF"/>
    <w:rsid w:val="00AC26B3"/>
    <w:rsid w:val="00AD7EA9"/>
    <w:rsid w:val="00B30E86"/>
    <w:rsid w:val="00B4142B"/>
    <w:rsid w:val="00B57865"/>
    <w:rsid w:val="00C02DAB"/>
    <w:rsid w:val="00C276DF"/>
    <w:rsid w:val="00C92003"/>
    <w:rsid w:val="00CA1572"/>
    <w:rsid w:val="00CE5FC7"/>
    <w:rsid w:val="00D11A30"/>
    <w:rsid w:val="00D21514"/>
    <w:rsid w:val="00D25C6A"/>
    <w:rsid w:val="00D33D02"/>
    <w:rsid w:val="00D64670"/>
    <w:rsid w:val="00D87DE0"/>
    <w:rsid w:val="00DA5F43"/>
    <w:rsid w:val="00DB532F"/>
    <w:rsid w:val="00DB6759"/>
    <w:rsid w:val="00DE6FC7"/>
    <w:rsid w:val="00E164C0"/>
    <w:rsid w:val="00E1787C"/>
    <w:rsid w:val="00E17DE8"/>
    <w:rsid w:val="00E24604"/>
    <w:rsid w:val="00E5255C"/>
    <w:rsid w:val="00E5521F"/>
    <w:rsid w:val="00E93536"/>
    <w:rsid w:val="00E93CBA"/>
    <w:rsid w:val="00EF6F19"/>
    <w:rsid w:val="00F14B85"/>
    <w:rsid w:val="00F309A6"/>
    <w:rsid w:val="00F319B0"/>
    <w:rsid w:val="00F3461E"/>
    <w:rsid w:val="00F35CBB"/>
    <w:rsid w:val="00F47738"/>
    <w:rsid w:val="00F733F0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608A"/>
  <w15:docId w15:val="{7FDD8AA9-6025-4D76-ADB2-7F663FE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9F6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C0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3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3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@conferencecollective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lds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1F65-F2FC-4489-BD95-94498F4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2</Pages>
  <Words>1164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Childs, Andrew</dc:creator>
  <cp:keywords/>
  <cp:lastModifiedBy>MILNE Sheila</cp:lastModifiedBy>
  <cp:revision>2</cp:revision>
  <cp:lastPrinted>2005-07-01T15:49:00Z</cp:lastPrinted>
  <dcterms:created xsi:type="dcterms:W3CDTF">2018-10-29T11:51:00Z</dcterms:created>
  <dcterms:modified xsi:type="dcterms:W3CDTF">2018-10-29T11:51:00Z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